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094E6" w14:textId="77777777" w:rsidR="002C1E25" w:rsidRDefault="001F7E22" w:rsidP="001F7E22">
      <w:pPr>
        <w:autoSpaceDE w:val="0"/>
        <w:autoSpaceDN w:val="0"/>
        <w:adjustRightInd w:val="0"/>
        <w:jc w:val="center"/>
        <w:rPr>
          <w:rFonts w:ascii="Calibri-Bold" w:hAnsi="Calibri-Bold" w:cs="Calibri-Bold"/>
          <w:b/>
          <w:bCs/>
        </w:rPr>
      </w:pPr>
      <w:r>
        <w:rPr>
          <w:rFonts w:ascii="Calibri-Bold" w:hAnsi="Calibri-Bold" w:cs="Calibri-Bold"/>
          <w:b/>
          <w:bCs/>
        </w:rPr>
        <w:t xml:space="preserve">SUMMARY OF COMMENTS </w:t>
      </w:r>
      <w:r w:rsidR="002C1E25">
        <w:rPr>
          <w:rFonts w:ascii="Calibri-Bold" w:hAnsi="Calibri-Bold" w:cs="Calibri-Bold"/>
          <w:b/>
          <w:bCs/>
        </w:rPr>
        <w:t>SUBMITTED TO ARIZONA STATE MUSEUM (ASM)</w:t>
      </w:r>
      <w:r>
        <w:rPr>
          <w:rFonts w:ascii="Calibri-Bold" w:hAnsi="Calibri-Bold" w:cs="Calibri-Bold"/>
          <w:b/>
          <w:bCs/>
        </w:rPr>
        <w:t xml:space="preserve"> </w:t>
      </w:r>
      <w:r w:rsidR="002C1E25">
        <w:rPr>
          <w:rFonts w:ascii="Calibri-Bold" w:hAnsi="Calibri-Bold" w:cs="Calibri-Bold"/>
          <w:b/>
          <w:bCs/>
        </w:rPr>
        <w:t xml:space="preserve">AND RESPONSES OFFERED AT </w:t>
      </w:r>
      <w:r>
        <w:rPr>
          <w:rFonts w:ascii="Calibri-Bold" w:hAnsi="Calibri-Bold" w:cs="Calibri-Bold"/>
          <w:b/>
          <w:bCs/>
        </w:rPr>
        <w:t xml:space="preserve">STATE-AGENCY-FOCUSED SB 1418 </w:t>
      </w:r>
      <w:r w:rsidR="002C1E25">
        <w:rPr>
          <w:rFonts w:ascii="Calibri-Bold" w:hAnsi="Calibri-Bold" w:cs="Calibri-Bold"/>
          <w:b/>
          <w:bCs/>
        </w:rPr>
        <w:t xml:space="preserve">CULTURAL RESOURCE MANAGEMENT FORUM </w:t>
      </w:r>
    </w:p>
    <w:p w14:paraId="31FD207C" w14:textId="77777777" w:rsidR="002C1E25" w:rsidRDefault="002C1E25" w:rsidP="002C1E25">
      <w:pPr>
        <w:autoSpaceDE w:val="0"/>
        <w:autoSpaceDN w:val="0"/>
        <w:adjustRightInd w:val="0"/>
        <w:jc w:val="center"/>
        <w:rPr>
          <w:rFonts w:ascii="Calibri-Bold" w:hAnsi="Calibri-Bold" w:cs="Calibri-Bold"/>
          <w:b/>
          <w:bCs/>
        </w:rPr>
      </w:pPr>
      <w:r>
        <w:rPr>
          <w:rFonts w:ascii="Calibri-Bold" w:hAnsi="Calibri-Bold" w:cs="Calibri-Bold"/>
          <w:b/>
          <w:bCs/>
        </w:rPr>
        <w:t>SPONSORED BY ARIZONA DEPARTMENT OF TRANSPORTATION, PHOENIX, AZ, 20 JULY 2017</w:t>
      </w:r>
    </w:p>
    <w:p w14:paraId="56D40239" w14:textId="77777777" w:rsidR="00270439" w:rsidRDefault="00270439" w:rsidP="00270439">
      <w:pPr>
        <w:jc w:val="center"/>
        <w:rPr>
          <w:b/>
        </w:rPr>
      </w:pPr>
    </w:p>
    <w:p w14:paraId="1E6621FF" w14:textId="4356B616" w:rsidR="004A7D33" w:rsidRDefault="002C1E25" w:rsidP="002C1E25">
      <w:pPr>
        <w:pStyle w:val="ListParagraph"/>
        <w:numPr>
          <w:ilvl w:val="0"/>
          <w:numId w:val="1"/>
        </w:numPr>
      </w:pPr>
      <w:r>
        <w:t>Stakeholders a</w:t>
      </w:r>
      <w:r w:rsidR="004A7D33">
        <w:t xml:space="preserve">ppreciate ASM’s efforts </w:t>
      </w:r>
      <w:r>
        <w:t>in being responsive to concerns by</w:t>
      </w:r>
      <w:r w:rsidR="004A7D33">
        <w:t xml:space="preserve"> holding a</w:t>
      </w:r>
      <w:r>
        <w:t>dditional face-to-face meetings and</w:t>
      </w:r>
      <w:r w:rsidR="004A7D33">
        <w:t xml:space="preserve"> </w:t>
      </w:r>
      <w:r w:rsidR="005377AE">
        <w:t>postponing</w:t>
      </w:r>
      <w:r w:rsidR="004A7D33">
        <w:t xml:space="preserve"> implementation </w:t>
      </w:r>
      <w:r>
        <w:t xml:space="preserve">of the new proposed fee and rate structure </w:t>
      </w:r>
      <w:r w:rsidR="004A7D33">
        <w:t>until</w:t>
      </w:r>
      <w:r>
        <w:t xml:space="preserve"> 1 July</w:t>
      </w:r>
      <w:r w:rsidR="004A7D33">
        <w:t xml:space="preserve"> 2018</w:t>
      </w:r>
      <w:r>
        <w:t>.</w:t>
      </w:r>
    </w:p>
    <w:p w14:paraId="4F32EC95" w14:textId="77777777" w:rsidR="00091256" w:rsidRDefault="00091256" w:rsidP="00270439"/>
    <w:p w14:paraId="6FAAEBC3" w14:textId="77777777" w:rsidR="00091256" w:rsidRDefault="002C1E25" w:rsidP="002C1E25">
      <w:pPr>
        <w:pStyle w:val="ListParagraph"/>
        <w:numPr>
          <w:ilvl w:val="0"/>
          <w:numId w:val="1"/>
        </w:numPr>
      </w:pPr>
      <w:r>
        <w:t>Stakeholders see value in pursuing two parallel courses of action related to the new proposed fee and rate structure</w:t>
      </w:r>
      <w:r w:rsidR="00091256">
        <w:t>:</w:t>
      </w:r>
    </w:p>
    <w:p w14:paraId="0B239DAA" w14:textId="77777777" w:rsidR="00091256" w:rsidRDefault="002C1E25" w:rsidP="002C1E25">
      <w:pPr>
        <w:pStyle w:val="ListParagraph"/>
        <w:numPr>
          <w:ilvl w:val="0"/>
          <w:numId w:val="2"/>
        </w:numPr>
      </w:pPr>
      <w:r>
        <w:t>w</w:t>
      </w:r>
      <w:r w:rsidR="00091256">
        <w:t xml:space="preserve">orking </w:t>
      </w:r>
      <w:r>
        <w:t xml:space="preserve">with ASM to better tailor proposed </w:t>
      </w:r>
      <w:r w:rsidR="00091256">
        <w:t>business practices</w:t>
      </w:r>
      <w:r>
        <w:t xml:space="preserve"> to the needs of stakeholders; and</w:t>
      </w:r>
    </w:p>
    <w:p w14:paraId="7064461E" w14:textId="77777777" w:rsidR="00091256" w:rsidRDefault="00853414" w:rsidP="002C1E25">
      <w:pPr>
        <w:pStyle w:val="ListParagraph"/>
        <w:numPr>
          <w:ilvl w:val="0"/>
          <w:numId w:val="2"/>
        </w:numPr>
      </w:pPr>
      <w:r>
        <w:t>working with ASM on</w:t>
      </w:r>
      <w:r w:rsidR="002C1E25">
        <w:t xml:space="preserve"> a broad-based</w:t>
      </w:r>
      <w:r w:rsidR="00091256">
        <w:t xml:space="preserve"> approach to addressing unintended consequences</w:t>
      </w:r>
      <w:r w:rsidR="00424E05">
        <w:t xml:space="preserve"> of increased costs associated with services provided by ASM</w:t>
      </w:r>
      <w:r w:rsidR="002C1E25">
        <w:t>.</w:t>
      </w:r>
    </w:p>
    <w:p w14:paraId="51E2D20D" w14:textId="77777777" w:rsidR="00853414" w:rsidRDefault="00853414" w:rsidP="00270439"/>
    <w:p w14:paraId="05A11EF5" w14:textId="77777777" w:rsidR="004A7D33" w:rsidRDefault="00853414" w:rsidP="00853414">
      <w:pPr>
        <w:pStyle w:val="ListParagraph"/>
        <w:numPr>
          <w:ilvl w:val="0"/>
          <w:numId w:val="3"/>
        </w:numPr>
      </w:pPr>
      <w:r>
        <w:t>Stakeholders have questions/concerns about deposits and billing:</w:t>
      </w:r>
    </w:p>
    <w:p w14:paraId="112D5581" w14:textId="77777777" w:rsidR="001654CA" w:rsidRDefault="00853414" w:rsidP="00853414">
      <w:pPr>
        <w:pStyle w:val="ListParagraph"/>
        <w:numPr>
          <w:ilvl w:val="0"/>
          <w:numId w:val="5"/>
        </w:numPr>
      </w:pPr>
      <w:r>
        <w:t>Will CRM firms be bi</w:t>
      </w:r>
      <w:r w:rsidR="00B2451F">
        <w:t xml:space="preserve">lled three times, or </w:t>
      </w:r>
      <w:r w:rsidR="001654CA">
        <w:t xml:space="preserve">just twice? </w:t>
      </w:r>
    </w:p>
    <w:p w14:paraId="1335E7B2" w14:textId="77777777" w:rsidR="001654CA" w:rsidRDefault="001654CA" w:rsidP="001654CA">
      <w:pPr>
        <w:ind w:left="720"/>
      </w:pPr>
    </w:p>
    <w:p w14:paraId="22895893" w14:textId="59C5F87B" w:rsidR="00553C85" w:rsidRDefault="00553C85" w:rsidP="001654CA">
      <w:pPr>
        <w:ind w:left="720"/>
      </w:pPr>
      <w:r>
        <w:t xml:space="preserve">Based on input from stakeholders, </w:t>
      </w:r>
      <w:r w:rsidR="001654CA">
        <w:t xml:space="preserve">ASM </w:t>
      </w:r>
      <w:r>
        <w:t xml:space="preserve">will </w:t>
      </w:r>
      <w:r w:rsidRPr="00AA75D6">
        <w:rPr>
          <w:u w:val="single"/>
        </w:rPr>
        <w:t>not</w:t>
      </w:r>
      <w:r>
        <w:t xml:space="preserve"> require a 15% deposit (as originally proposed) and, instead, </w:t>
      </w:r>
      <w:r w:rsidR="001654CA">
        <w:t xml:space="preserve">has proposed </w:t>
      </w:r>
      <w:r w:rsidR="00E24227">
        <w:t>a two</w:t>
      </w:r>
      <w:r w:rsidR="00DF6F47">
        <w:t>-</w:t>
      </w:r>
      <w:r w:rsidR="00E24227">
        <w:t>bill cycle for each project</w:t>
      </w:r>
      <w:r w:rsidR="00CB655D">
        <w:t xml:space="preserve">, assuming </w:t>
      </w:r>
      <w:r w:rsidR="00DF6F47">
        <w:t xml:space="preserve">that </w:t>
      </w:r>
      <w:r w:rsidR="00CB655D">
        <w:t xml:space="preserve">collections are submitted </w:t>
      </w:r>
      <w:r w:rsidR="00034CFC">
        <w:t>in accordance with state standards</w:t>
      </w:r>
      <w:r w:rsidR="00E24227">
        <w:t xml:space="preserve">: </w:t>
      </w:r>
      <w:r w:rsidR="00B2451F">
        <w:t>(1) a</w:t>
      </w:r>
      <w:r w:rsidR="00E24227">
        <w:t>n</w:t>
      </w:r>
      <w:r w:rsidR="00B2451F">
        <w:t xml:space="preserve"> </w:t>
      </w:r>
      <w:r w:rsidR="00E24227">
        <w:t xml:space="preserve">initial bill </w:t>
      </w:r>
      <w:r w:rsidR="00853414">
        <w:t xml:space="preserve">for </w:t>
      </w:r>
      <w:r w:rsidR="00E24227">
        <w:t xml:space="preserve">100% of </w:t>
      </w:r>
      <w:r w:rsidR="00853414">
        <w:t>costs</w:t>
      </w:r>
      <w:r w:rsidR="00E24227">
        <w:t xml:space="preserve"> for </w:t>
      </w:r>
      <w:r w:rsidR="007455B8">
        <w:t>ASM tasks to be</w:t>
      </w:r>
      <w:r w:rsidR="00E24227">
        <w:t xml:space="preserve"> completed prior to the submission of collections for curation</w:t>
      </w:r>
      <w:r w:rsidR="007455B8">
        <w:t xml:space="preserve"> (project registration, preparation of a burial agreement)</w:t>
      </w:r>
      <w:r w:rsidR="00B2451F">
        <w:t xml:space="preserve">, to be due when a quote is </w:t>
      </w:r>
      <w:r w:rsidR="00E24227">
        <w:t>accepted and the job commences</w:t>
      </w:r>
      <w:r w:rsidR="00B2451F">
        <w:t xml:space="preserve">; </w:t>
      </w:r>
      <w:r w:rsidR="007455B8">
        <w:t xml:space="preserve">and </w:t>
      </w:r>
      <w:r w:rsidR="00B2451F">
        <w:t>(2) a bill for all curation costs</w:t>
      </w:r>
      <w:r w:rsidR="00E24227">
        <w:t>,</w:t>
      </w:r>
      <w:r w:rsidR="00B2451F">
        <w:t xml:space="preserve"> </w:t>
      </w:r>
      <w:r w:rsidR="00E24227">
        <w:t xml:space="preserve">including </w:t>
      </w:r>
      <w:r w:rsidR="00B2451F">
        <w:t xml:space="preserve">collections intake and curation in perpetuity, </w:t>
      </w:r>
      <w:r w:rsidR="001654CA">
        <w:t xml:space="preserve">to be </w:t>
      </w:r>
      <w:r w:rsidR="00E24227">
        <w:t xml:space="preserve">issued </w:t>
      </w:r>
      <w:r w:rsidR="001654CA">
        <w:t>when collections are submitted to ASM.</w:t>
      </w:r>
      <w:r w:rsidR="00E24227">
        <w:t xml:space="preserve"> </w:t>
      </w:r>
    </w:p>
    <w:p w14:paraId="4BE56003" w14:textId="77777777" w:rsidR="00553C85" w:rsidRDefault="00553C85" w:rsidP="001654CA">
      <w:pPr>
        <w:ind w:left="720"/>
      </w:pPr>
    </w:p>
    <w:p w14:paraId="61AEEE40" w14:textId="47E435B5" w:rsidR="00553C85" w:rsidRDefault="00055084" w:rsidP="001654CA">
      <w:pPr>
        <w:ind w:left="720"/>
      </w:pPr>
      <w:r>
        <w:t>If necessary, r</w:t>
      </w:r>
      <w:r w:rsidR="004017A6">
        <w:t>evisions</w:t>
      </w:r>
      <w:r w:rsidR="00E24227">
        <w:t xml:space="preserve"> to the initial quote will be made </w:t>
      </w:r>
      <w:r>
        <w:t>at the time collections are submitted</w:t>
      </w:r>
      <w:r w:rsidR="00E24227">
        <w:t xml:space="preserve"> for curation</w:t>
      </w:r>
      <w:r w:rsidR="006F7A6F">
        <w:t xml:space="preserve">. </w:t>
      </w:r>
      <w:r w:rsidR="00DF6F47">
        <w:t>R</w:t>
      </w:r>
      <w:r w:rsidR="006F7A6F">
        <w:t xml:space="preserve">evisions </w:t>
      </w:r>
      <w:r w:rsidR="00DF6F47">
        <w:t>will be</w:t>
      </w:r>
      <w:r w:rsidR="006F7A6F">
        <w:t xml:space="preserve"> necessary i</w:t>
      </w:r>
      <w:r w:rsidR="00DF6F47">
        <w:t xml:space="preserve">f there is </w:t>
      </w:r>
      <w:r w:rsidR="00E24227">
        <w:t xml:space="preserve">a material variance </w:t>
      </w:r>
      <w:r w:rsidR="00F53475">
        <w:t>(</w:t>
      </w:r>
      <w:r w:rsidR="00F911E3">
        <w:t xml:space="preserve">an increase or decrease </w:t>
      </w:r>
      <w:r w:rsidR="00F53475">
        <w:t xml:space="preserve">equal to or greater than </w:t>
      </w:r>
      <w:r w:rsidR="006F7A6F">
        <w:t xml:space="preserve">10%) </w:t>
      </w:r>
      <w:r w:rsidR="00E24227">
        <w:t xml:space="preserve">between the </w:t>
      </w:r>
      <w:r w:rsidR="00CB655D">
        <w:t xml:space="preserve">scope of the </w:t>
      </w:r>
      <w:r w:rsidR="006F7A6F">
        <w:t>job</w:t>
      </w:r>
      <w:r>
        <w:t>,</w:t>
      </w:r>
      <w:r w:rsidR="00E24227">
        <w:t xml:space="preserve"> as defined in the Request for Services Form </w:t>
      </w:r>
      <w:r w:rsidR="006F7A6F">
        <w:t xml:space="preserve">submitted by the client, </w:t>
      </w:r>
      <w:r w:rsidR="00BB3CCA">
        <w:t xml:space="preserve">and what </w:t>
      </w:r>
      <w:r w:rsidR="00DF6F47">
        <w:t>is</w:t>
      </w:r>
      <w:r w:rsidR="00BB3CCA">
        <w:t xml:space="preserve"> actually submitted for curation. </w:t>
      </w:r>
      <w:r w:rsidR="0083092B">
        <w:t>Once any necessary revisions are completed</w:t>
      </w:r>
      <w:r w:rsidR="00DF6F47">
        <w:t>,</w:t>
      </w:r>
      <w:r w:rsidR="0083092B">
        <w:t xml:space="preserve"> the second bill will be issued. </w:t>
      </w:r>
    </w:p>
    <w:p w14:paraId="33B29082" w14:textId="77777777" w:rsidR="00553C85" w:rsidRDefault="00553C85" w:rsidP="001654CA">
      <w:pPr>
        <w:ind w:left="720"/>
      </w:pPr>
    </w:p>
    <w:p w14:paraId="0CA589A9" w14:textId="728431C8" w:rsidR="00034CFC" w:rsidRDefault="00034CFC" w:rsidP="001654CA">
      <w:pPr>
        <w:ind w:left="720"/>
      </w:pPr>
      <w:r>
        <w:t xml:space="preserve">If collections submitted are found to be </w:t>
      </w:r>
      <w:r w:rsidR="001635B5">
        <w:t xml:space="preserve">non-compliant </w:t>
      </w:r>
      <w:r>
        <w:t>with state standards</w:t>
      </w:r>
      <w:r w:rsidR="00DF6F47">
        <w:t>,</w:t>
      </w:r>
      <w:r>
        <w:t xml:space="preserve"> a third bill will be issued </w:t>
      </w:r>
      <w:r w:rsidR="00F62BE8">
        <w:t xml:space="preserve">after intake is completed. This bill will be </w:t>
      </w:r>
      <w:r>
        <w:t xml:space="preserve">based upon the time ASM staff </w:t>
      </w:r>
      <w:r w:rsidR="00F62BE8">
        <w:t xml:space="preserve">recorded while </w:t>
      </w:r>
      <w:r>
        <w:t>bring</w:t>
      </w:r>
      <w:r w:rsidR="00F62BE8">
        <w:t>ing</w:t>
      </w:r>
      <w:r>
        <w:t xml:space="preserve"> the collection up to standard</w:t>
      </w:r>
      <w:r w:rsidR="00D45E0E">
        <w:t xml:space="preserve"> and the relevant hourly rates for their time</w:t>
      </w:r>
      <w:r>
        <w:t>.</w:t>
      </w:r>
      <w:r w:rsidR="007455B8">
        <w:t xml:space="preserve"> ASM is committed to holding additional workshops, throughout the state, designed to help CRM firms minimize costs by submitting collections according to standards.</w:t>
      </w:r>
      <w:r>
        <w:t xml:space="preserve">  </w:t>
      </w:r>
    </w:p>
    <w:p w14:paraId="086BB515" w14:textId="270E90D1" w:rsidR="008A37D7" w:rsidRDefault="008A37D7" w:rsidP="001654CA">
      <w:pPr>
        <w:ind w:left="720"/>
      </w:pPr>
    </w:p>
    <w:p w14:paraId="74D65F84" w14:textId="5476B932" w:rsidR="008A37D7" w:rsidRDefault="008A37D7" w:rsidP="001654CA">
      <w:pPr>
        <w:ind w:left="720"/>
      </w:pPr>
      <w:r>
        <w:t>This is the billing cycle as proposed in the ASM SB 1418 CRM Forum of 13 June</w:t>
      </w:r>
      <w:r w:rsidR="00236EF9">
        <w:t>,</w:t>
      </w:r>
      <w:r>
        <w:t xml:space="preserve"> and for which </w:t>
      </w:r>
      <w:r w:rsidR="00553C85">
        <w:t>ASM</w:t>
      </w:r>
      <w:r>
        <w:t xml:space="preserve"> requested feedback</w:t>
      </w:r>
      <w:r w:rsidR="00236EF9">
        <w:t xml:space="preserve"> as to how well it would articulate with CRM firms’ business practices and cash flows</w:t>
      </w:r>
      <w:r>
        <w:t xml:space="preserve">.  </w:t>
      </w:r>
    </w:p>
    <w:p w14:paraId="0949E397" w14:textId="77777777" w:rsidR="001654CA" w:rsidRDefault="001654CA" w:rsidP="001654CA">
      <w:pPr>
        <w:ind w:left="720"/>
      </w:pPr>
    </w:p>
    <w:p w14:paraId="72ACDDD6" w14:textId="353EEEBD" w:rsidR="004A7D33" w:rsidRDefault="001654CA" w:rsidP="002505B3">
      <w:pPr>
        <w:pStyle w:val="ListParagraph"/>
        <w:numPr>
          <w:ilvl w:val="0"/>
          <w:numId w:val="9"/>
        </w:numPr>
        <w:ind w:left="720"/>
      </w:pPr>
      <w:r>
        <w:t xml:space="preserve">CRM firms, in particular, are concerned about billing because project </w:t>
      </w:r>
      <w:r w:rsidR="004A7D33">
        <w:t xml:space="preserve">proponents </w:t>
      </w:r>
      <w:r>
        <w:t xml:space="preserve">(including </w:t>
      </w:r>
      <w:r w:rsidR="009A3A32">
        <w:t>agencies) sometimes take a long time</w:t>
      </w:r>
      <w:r>
        <w:t xml:space="preserve"> to reimburse firms for expenses paid to ASM.</w:t>
      </w:r>
      <w:r w:rsidR="002505B3">
        <w:t xml:space="preserve"> CRM firms are also concerned about a quick turn-around</w:t>
      </w:r>
      <w:r w:rsidR="009A3A32">
        <w:t xml:space="preserve"> from ASM</w:t>
      </w:r>
      <w:r w:rsidR="002505B3">
        <w:t>, i.e., being able to start projects right away rather than wait for ASM to complete a long task list.</w:t>
      </w:r>
    </w:p>
    <w:p w14:paraId="4A598B92" w14:textId="104E377C" w:rsidR="00553C85" w:rsidRDefault="00553C85" w:rsidP="00AA75D6"/>
    <w:p w14:paraId="23B34F83" w14:textId="7A6B574C" w:rsidR="00553C85" w:rsidRDefault="00553C85" w:rsidP="00AA75D6">
      <w:pPr>
        <w:ind w:left="720"/>
      </w:pPr>
      <w:r>
        <w:t>The proposed two-bill cycle described above (which does not involve a 15% deposit), will allow CRM firms to</w:t>
      </w:r>
      <w:r w:rsidR="00FB22DB">
        <w:t xml:space="preserve"> start work as soon as the first bill (</w:t>
      </w:r>
      <w:r w:rsidR="007455B8">
        <w:t xml:space="preserve">the portion of the quote </w:t>
      </w:r>
      <w:r w:rsidR="00FB22DB">
        <w:t>for 100% of costs</w:t>
      </w:r>
      <w:r w:rsidR="007455B8">
        <w:t xml:space="preserve"> </w:t>
      </w:r>
      <w:r w:rsidR="007455B8">
        <w:lastRenderedPageBreak/>
        <w:t>associated with</w:t>
      </w:r>
      <w:r w:rsidR="00FB22DB">
        <w:t xml:space="preserve"> ASM tasks completed prior to the submission of collections for curation) is paid.</w:t>
      </w:r>
      <w:r w:rsidR="007455B8">
        <w:t xml:space="preserve"> This first bill would recover costs associated with project registration and preparation of a burial agreement (if needed). </w:t>
      </w:r>
      <w:r w:rsidR="00201CF6">
        <w:t>This is essentially the same as the system that has been in place for many years.</w:t>
      </w:r>
    </w:p>
    <w:p w14:paraId="6CC74D9B" w14:textId="77777777" w:rsidR="001654CA" w:rsidRDefault="001654CA" w:rsidP="002505B3">
      <w:pPr>
        <w:pStyle w:val="ListParagraph"/>
        <w:ind w:left="360"/>
      </w:pPr>
    </w:p>
    <w:p w14:paraId="34F91EAF" w14:textId="2011A342" w:rsidR="004A7D33" w:rsidRDefault="00DF184C" w:rsidP="009A3A32">
      <w:pPr>
        <w:ind w:left="720"/>
      </w:pPr>
      <w:r>
        <w:t>ASM s</w:t>
      </w:r>
      <w:r w:rsidR="004A7D33">
        <w:t>uggest</w:t>
      </w:r>
      <w:r>
        <w:t>s</w:t>
      </w:r>
      <w:r w:rsidR="004A7D33">
        <w:t xml:space="preserve"> </w:t>
      </w:r>
      <w:r w:rsidR="009A3A32">
        <w:t xml:space="preserve">a </w:t>
      </w:r>
      <w:r w:rsidR="004A7D33">
        <w:t>follo</w:t>
      </w:r>
      <w:r w:rsidR="009A3A32">
        <w:t>w-up session or sessions, specifically focused on billing and asked for</w:t>
      </w:r>
      <w:r w:rsidR="004A7D33">
        <w:t xml:space="preserve"> </w:t>
      </w:r>
      <w:r w:rsidR="009A3A32">
        <w:t xml:space="preserve">stakeholder volunteers </w:t>
      </w:r>
      <w:r w:rsidR="004A7D33">
        <w:t xml:space="preserve">to participate in tests of </w:t>
      </w:r>
      <w:r w:rsidR="009A3A32">
        <w:t xml:space="preserve">the new quote </w:t>
      </w:r>
      <w:r w:rsidR="004A7D33">
        <w:t>and billing system</w:t>
      </w:r>
      <w:r w:rsidR="00FB22DB">
        <w:t>, now under development, once it is up and running</w:t>
      </w:r>
      <w:r w:rsidR="009A3A32">
        <w:t xml:space="preserve">. </w:t>
      </w:r>
    </w:p>
    <w:p w14:paraId="541ADE4A" w14:textId="77777777" w:rsidR="002505B3" w:rsidRDefault="002505B3" w:rsidP="00270439"/>
    <w:p w14:paraId="25CE97FF" w14:textId="77777777" w:rsidR="004A7D33" w:rsidRDefault="005E7397" w:rsidP="005E7397">
      <w:pPr>
        <w:pStyle w:val="ListParagraph"/>
        <w:numPr>
          <w:ilvl w:val="0"/>
          <w:numId w:val="10"/>
        </w:numPr>
      </w:pPr>
      <w:r>
        <w:t xml:space="preserve">Stakeholders had many constructive comments regarding </w:t>
      </w:r>
      <w:r w:rsidR="002420A5">
        <w:t xml:space="preserve">how to address </w:t>
      </w:r>
      <w:r>
        <w:t>unintended c</w:t>
      </w:r>
      <w:r w:rsidR="005C53B6">
        <w:t>onsequences:</w:t>
      </w:r>
    </w:p>
    <w:p w14:paraId="01A9E6AF" w14:textId="77777777" w:rsidR="005C53B6" w:rsidRDefault="00BA62E3" w:rsidP="000C7EB3">
      <w:pPr>
        <w:pStyle w:val="ListParagraph"/>
        <w:numPr>
          <w:ilvl w:val="0"/>
          <w:numId w:val="13"/>
        </w:numPr>
        <w:outlineLvl w:val="0"/>
      </w:pPr>
      <w:r>
        <w:t xml:space="preserve">There was </w:t>
      </w:r>
      <w:r w:rsidR="00861B43">
        <w:t>d</w:t>
      </w:r>
      <w:r w:rsidR="001B099E">
        <w:t xml:space="preserve">iscussion of </w:t>
      </w:r>
      <w:r w:rsidR="00861B43">
        <w:t xml:space="preserve">a possible </w:t>
      </w:r>
      <w:r w:rsidR="001B099E">
        <w:t xml:space="preserve">two-tiered approach </w:t>
      </w:r>
      <w:r w:rsidR="00861B43">
        <w:t>to archaeological data recovery (i.e., some sample of a site from which resulting collections are curated entirely and a sample that is subject to culling or some other procedure that limits the size of collections).</w:t>
      </w:r>
      <w:r w:rsidR="000C7EB3">
        <w:t xml:space="preserve"> The consensus was that c</w:t>
      </w:r>
      <w:r w:rsidR="005C53B6">
        <w:t>ulled coll</w:t>
      </w:r>
      <w:r w:rsidR="000C7EB3">
        <w:t>ections are problematic in that they are severely</w:t>
      </w:r>
      <w:r w:rsidR="005C53B6">
        <w:t xml:space="preserve"> limited in </w:t>
      </w:r>
      <w:r w:rsidR="000C7EB3">
        <w:t xml:space="preserve">terms of </w:t>
      </w:r>
      <w:r w:rsidR="005C53B6">
        <w:t>research potential</w:t>
      </w:r>
      <w:r w:rsidR="000C7EB3">
        <w:t xml:space="preserve">, and preserving research potential </w:t>
      </w:r>
      <w:r w:rsidR="00AE7081">
        <w:t xml:space="preserve">is </w:t>
      </w:r>
      <w:r w:rsidR="000C7EB3">
        <w:t>at the heart of what we do in the cultural resource management community</w:t>
      </w:r>
      <w:r w:rsidR="005C53B6">
        <w:t xml:space="preserve">. If </w:t>
      </w:r>
      <w:r w:rsidR="000C7EB3">
        <w:t xml:space="preserve">a </w:t>
      </w:r>
      <w:r w:rsidR="005C53B6">
        <w:t>two-tie</w:t>
      </w:r>
      <w:r w:rsidR="000C7EB3">
        <w:t xml:space="preserve">red approach moves forward, overarching </w:t>
      </w:r>
      <w:r w:rsidR="005C53B6">
        <w:t xml:space="preserve">guidelines </w:t>
      </w:r>
      <w:r w:rsidR="000C7EB3">
        <w:t xml:space="preserve">must be developed, based on input from many different kinds of </w:t>
      </w:r>
      <w:r w:rsidR="005C53B6">
        <w:t>experts</w:t>
      </w:r>
      <w:r w:rsidR="000C7EB3">
        <w:t>.</w:t>
      </w:r>
    </w:p>
    <w:p w14:paraId="6E038144" w14:textId="77777777" w:rsidR="006C5F2B" w:rsidRDefault="006C5F2B" w:rsidP="007D798C">
      <w:pPr>
        <w:pStyle w:val="ListParagraph"/>
        <w:numPr>
          <w:ilvl w:val="0"/>
          <w:numId w:val="13"/>
        </w:numPr>
      </w:pPr>
      <w:r>
        <w:t>Some d</w:t>
      </w:r>
      <w:r w:rsidR="00D10FF1">
        <w:t>iscussion</w:t>
      </w:r>
      <w:r>
        <w:t>s of this topic touch on the question of what</w:t>
      </w:r>
      <w:r w:rsidR="00D10FF1">
        <w:t xml:space="preserve"> might be the </w:t>
      </w:r>
      <w:r>
        <w:t>“</w:t>
      </w:r>
      <w:r w:rsidR="00D10FF1">
        <w:t>ideal</w:t>
      </w:r>
      <w:r>
        <w:t>”</w:t>
      </w:r>
      <w:r w:rsidR="00D10FF1">
        <w:t xml:space="preserve"> </w:t>
      </w:r>
      <w:r w:rsidR="00C046EE">
        <w:t xml:space="preserve">minimal </w:t>
      </w:r>
      <w:r w:rsidR="00D10FF1">
        <w:t>proportion or percentage of a site to be excavated,</w:t>
      </w:r>
      <w:r>
        <w:t xml:space="preserve"> assuming curation of all materials recovered.</w:t>
      </w:r>
      <w:r w:rsidR="00D10FF1">
        <w:t xml:space="preserve"> </w:t>
      </w:r>
    </w:p>
    <w:p w14:paraId="178308AA" w14:textId="0AF1ED02" w:rsidR="000C4AC4" w:rsidRDefault="002420A5" w:rsidP="006C5F2B">
      <w:pPr>
        <w:pStyle w:val="ListParagraph"/>
      </w:pPr>
      <w:r>
        <w:t xml:space="preserve">ASM’s approach to the review of research designs </w:t>
      </w:r>
      <w:r w:rsidR="00E22E2E">
        <w:t xml:space="preserve">(mitigation plans) </w:t>
      </w:r>
      <w:r>
        <w:t xml:space="preserve">does not focus on percentages of sites to be </w:t>
      </w:r>
      <w:r w:rsidR="005817E1">
        <w:t>excavated. Instead, the focus is</w:t>
      </w:r>
      <w:bookmarkStart w:id="0" w:name="_GoBack"/>
      <w:bookmarkEnd w:id="0"/>
      <w:r>
        <w:t xml:space="preserve"> on the appropriateness of the proposed research questions and the goodness of fit between these questions, the nature of the resource(s) involved, the size and location of the APE </w:t>
      </w:r>
      <w:r w:rsidR="00E22E2E">
        <w:t xml:space="preserve">(area of potential effects) </w:t>
      </w:r>
      <w:r>
        <w:t>relative to the resource(s) involved, the proposed data recovery techniques, and the classes of data to</w:t>
      </w:r>
      <w:r w:rsidR="00D81FD0">
        <w:t xml:space="preserve"> </w:t>
      </w:r>
      <w:r>
        <w:t xml:space="preserve">be recovered. </w:t>
      </w:r>
      <w:r w:rsidR="00D81FD0">
        <w:t xml:space="preserve">These same principles show up in the </w:t>
      </w:r>
      <w:r w:rsidR="00E22E2E">
        <w:t xml:space="preserve">state </w:t>
      </w:r>
      <w:r w:rsidR="00D81FD0">
        <w:t xml:space="preserve">reporting standards issued </w:t>
      </w:r>
      <w:r w:rsidR="000C4AC4">
        <w:t xml:space="preserve">jointly </w:t>
      </w:r>
      <w:r w:rsidR="00E22E2E">
        <w:t xml:space="preserve">in 2009 </w:t>
      </w:r>
      <w:r w:rsidR="00D81FD0">
        <w:t xml:space="preserve">by </w:t>
      </w:r>
      <w:r w:rsidR="00E22E2E">
        <w:t>the State Historic Preservation Office (SHPO), ASM, and the Arizona State Land Department (ASLD)</w:t>
      </w:r>
      <w:r w:rsidR="000C4AC4">
        <w:t>:</w:t>
      </w:r>
    </w:p>
    <w:p w14:paraId="18F0239F" w14:textId="77777777" w:rsidR="000C4AC4" w:rsidRDefault="000C4AC4" w:rsidP="000C4AC4">
      <w:pPr>
        <w:pStyle w:val="ListParagraph"/>
      </w:pPr>
    </w:p>
    <w:p w14:paraId="4F9357A3" w14:textId="77777777" w:rsidR="00D81FD0" w:rsidRDefault="005817E1" w:rsidP="000C4AC4">
      <w:pPr>
        <w:pStyle w:val="ListParagraph"/>
      </w:pPr>
      <w:hyperlink r:id="rId6" w:history="1">
        <w:r w:rsidR="000C4AC4" w:rsidRPr="00636167">
          <w:rPr>
            <w:rStyle w:val="Hyperlink"/>
          </w:rPr>
          <w:t>http://www.statemuseum.arizona.edu/media/statemuseum/_file/az_report_standards_2009.pdf</w:t>
        </w:r>
      </w:hyperlink>
    </w:p>
    <w:p w14:paraId="6295EFFD" w14:textId="77777777" w:rsidR="00D81FD0" w:rsidRDefault="00D81FD0" w:rsidP="00D81FD0">
      <w:pPr>
        <w:pStyle w:val="ListParagraph"/>
      </w:pPr>
    </w:p>
    <w:p w14:paraId="2D24ACB4" w14:textId="77777777" w:rsidR="00A57DAD" w:rsidRDefault="00A57DAD" w:rsidP="00D81FD0">
      <w:pPr>
        <w:pStyle w:val="ListParagraph"/>
      </w:pPr>
      <w:r>
        <w:t>That document can be a good model of how to move forward together as a group of state agencies and as a larger cultural resource management community.</w:t>
      </w:r>
    </w:p>
    <w:p w14:paraId="3AB1DB97" w14:textId="3691FEE3" w:rsidR="00810180" w:rsidRDefault="000C7EB3" w:rsidP="00424E05">
      <w:pPr>
        <w:pStyle w:val="ListParagraph"/>
        <w:numPr>
          <w:ilvl w:val="0"/>
          <w:numId w:val="11"/>
        </w:numPr>
      </w:pPr>
      <w:r>
        <w:t>An alternative</w:t>
      </w:r>
      <w:r w:rsidR="001F1EE6">
        <w:t>, related,</w:t>
      </w:r>
      <w:r>
        <w:t xml:space="preserve"> or parallel strategy would involve b</w:t>
      </w:r>
      <w:r w:rsidR="00926F7B">
        <w:t xml:space="preserve">etter stratifying recovery samples, </w:t>
      </w:r>
      <w:r>
        <w:t xml:space="preserve">i.e., better prioritizing of sites to be excavated based on, for example, rarity and research potential (in the context of existing gaps in knowledge). Stakeholders discussed making better use of SHPO Historic Contexts </w:t>
      </w:r>
      <w:r w:rsidR="00751C4A">
        <w:t>(the group identified this as a</w:t>
      </w:r>
      <w:r w:rsidR="006759FD">
        <w:t xml:space="preserve"> “</w:t>
      </w:r>
      <w:r w:rsidR="00C50E93">
        <w:t>good</w:t>
      </w:r>
      <w:r w:rsidR="006759FD">
        <w:t xml:space="preserve"> starting point”) </w:t>
      </w:r>
      <w:r>
        <w:t xml:space="preserve">and the possibility of developing overarching mitigation plans like those used by the Bureau of Land Management in New Mexico (The Fruitland Project Mitigation Plan and the </w:t>
      </w:r>
      <w:r w:rsidRPr="000C7EB3">
        <w:t>Permian Basin Mitigation Program</w:t>
      </w:r>
      <w:r>
        <w:t xml:space="preserve">). </w:t>
      </w:r>
      <w:r w:rsidR="00D36213">
        <w:t>For more information on the Permian Basin Mitigation Program, see:</w:t>
      </w:r>
    </w:p>
    <w:p w14:paraId="5441F8E9" w14:textId="77777777" w:rsidR="00D36213" w:rsidRDefault="00D36213" w:rsidP="00D36213"/>
    <w:p w14:paraId="01F6E04F" w14:textId="77777777" w:rsidR="00D36213" w:rsidRDefault="005817E1" w:rsidP="002F63E7">
      <w:pPr>
        <w:ind w:firstLine="720"/>
      </w:pPr>
      <w:hyperlink r:id="rId7" w:history="1">
        <w:r w:rsidR="00D36213" w:rsidRPr="00636167">
          <w:rPr>
            <w:rStyle w:val="Hyperlink"/>
          </w:rPr>
          <w:t>http://www.nmacweb.org/My_Homepage_Files/Download/NewsMAC_2010-1.pdf</w:t>
        </w:r>
      </w:hyperlink>
    </w:p>
    <w:p w14:paraId="7707EC1F" w14:textId="77777777" w:rsidR="00D36213" w:rsidRDefault="00D36213" w:rsidP="00D36213"/>
    <w:p w14:paraId="05FA4EAA" w14:textId="77777777" w:rsidR="00D36213" w:rsidRDefault="005817E1" w:rsidP="002F63E7">
      <w:pPr>
        <w:ind w:left="720"/>
      </w:pPr>
      <w:hyperlink r:id="rId8" w:history="1">
        <w:r w:rsidR="00D36213" w:rsidRPr="00636167">
          <w:rPr>
            <w:rStyle w:val="Hyperlink"/>
          </w:rPr>
          <w:t>http://www.sricrm.com/news/BLM_Permian_Basin.html</w:t>
        </w:r>
      </w:hyperlink>
    </w:p>
    <w:p w14:paraId="6EA87B70" w14:textId="77777777" w:rsidR="00D36213" w:rsidRDefault="00D36213" w:rsidP="00D36213"/>
    <w:p w14:paraId="509473EB" w14:textId="77777777" w:rsidR="00D36213" w:rsidRDefault="005817E1" w:rsidP="002F63E7">
      <w:pPr>
        <w:ind w:left="720"/>
      </w:pPr>
      <w:hyperlink r:id="rId9" w:history="1">
        <w:r w:rsidR="00D36213" w:rsidRPr="00636167">
          <w:rPr>
            <w:rStyle w:val="Hyperlink"/>
          </w:rPr>
          <w:t>http://www.nmhistoricpreservation.org/assets/files/press-releases/permian_basin_moa.pdf</w:t>
        </w:r>
      </w:hyperlink>
    </w:p>
    <w:p w14:paraId="6A2FDE80" w14:textId="77777777" w:rsidR="00D36213" w:rsidRDefault="00D36213" w:rsidP="00D36213"/>
    <w:p w14:paraId="4977D66D" w14:textId="77777777" w:rsidR="00D36213" w:rsidRDefault="005817E1" w:rsidP="002F63E7">
      <w:pPr>
        <w:ind w:left="720"/>
      </w:pPr>
      <w:hyperlink r:id="rId10" w:history="1">
        <w:r w:rsidR="00D36213" w:rsidRPr="00636167">
          <w:rPr>
            <w:rStyle w:val="Hyperlink"/>
          </w:rPr>
          <w:t>http://www.saa.org/portals/0/saa/publications/amantiq/articleschlanger.pdf</w:t>
        </w:r>
      </w:hyperlink>
    </w:p>
    <w:p w14:paraId="1569EC17" w14:textId="77777777" w:rsidR="00D36213" w:rsidRDefault="00D36213" w:rsidP="00D36213"/>
    <w:p w14:paraId="1B92F5B1" w14:textId="77777777" w:rsidR="00D36213" w:rsidRDefault="005817E1" w:rsidP="002F63E7">
      <w:pPr>
        <w:ind w:left="720"/>
      </w:pPr>
      <w:hyperlink r:id="rId11" w:history="1">
        <w:r w:rsidR="002F63E7" w:rsidRPr="00636167">
          <w:rPr>
            <w:rStyle w:val="Hyperlink"/>
          </w:rPr>
          <w:t>https://www.cambridge.org/core/services/aop-cambridge-core/content/view/196A11A758BEEA4C5EFE6BF1269DBFAB/S2326376800000735a.pdf/div-class-title-the-permian-basin-programmatic-agreement-after-seven-years-of-implementation-div.pdf</w:t>
        </w:r>
      </w:hyperlink>
    </w:p>
    <w:p w14:paraId="6FE837C7" w14:textId="77777777" w:rsidR="00D36213" w:rsidRDefault="00D36213" w:rsidP="00D36213"/>
    <w:p w14:paraId="3AB0BB23" w14:textId="77777777" w:rsidR="00D36213" w:rsidRDefault="005817E1" w:rsidP="002F63E7">
      <w:pPr>
        <w:ind w:left="720"/>
      </w:pPr>
      <w:hyperlink r:id="rId12" w:history="1">
        <w:r w:rsidR="001F7E22" w:rsidRPr="00636167">
          <w:rPr>
            <w:rStyle w:val="Hyperlink"/>
          </w:rPr>
          <w:t>https://www.cambridge.org/core/journals/advances-in-archaeological-practice/article/div-classtitlevalues-based-management-of-archaeological-resources-at-a-landscape-scalediv/FC7AAE375D4CFEFD0DD479437C12185B</w:t>
        </w:r>
      </w:hyperlink>
    </w:p>
    <w:p w14:paraId="290812A5" w14:textId="77777777" w:rsidR="00C96D05" w:rsidRDefault="00C96D05" w:rsidP="00D36213"/>
    <w:p w14:paraId="35C0111E" w14:textId="77777777" w:rsidR="001B099E" w:rsidRDefault="002420A5" w:rsidP="000C7EB3">
      <w:pPr>
        <w:pStyle w:val="ListParagraph"/>
        <w:numPr>
          <w:ilvl w:val="0"/>
          <w:numId w:val="11"/>
        </w:numPr>
      </w:pPr>
      <w:r>
        <w:t xml:space="preserve">Stakeholders also discussed the benefits of </w:t>
      </w:r>
      <w:r w:rsidR="00926F7B">
        <w:t>alternative mitigation strategies</w:t>
      </w:r>
      <w:r>
        <w:t xml:space="preserve"> such as working with existing collections</w:t>
      </w:r>
      <w:r w:rsidR="00926F7B">
        <w:t>.</w:t>
      </w:r>
    </w:p>
    <w:p w14:paraId="245D8930" w14:textId="77777777" w:rsidR="00926F7B" w:rsidRDefault="006759FD" w:rsidP="006759FD">
      <w:pPr>
        <w:pStyle w:val="ListParagraph"/>
        <w:numPr>
          <w:ilvl w:val="0"/>
          <w:numId w:val="11"/>
        </w:numPr>
      </w:pPr>
      <w:r>
        <w:t>There was some discussion regarding whether the community should re</w:t>
      </w:r>
      <w:r w:rsidR="00926F7B">
        <w:t>conside</w:t>
      </w:r>
      <w:r>
        <w:t>r how eligibility is determined/</w:t>
      </w:r>
      <w:r w:rsidR="00926F7B">
        <w:t xml:space="preserve">applied, </w:t>
      </w:r>
      <w:r>
        <w:t xml:space="preserve">and whether managers should </w:t>
      </w:r>
      <w:r w:rsidR="00926F7B">
        <w:t>be more co</w:t>
      </w:r>
      <w:r>
        <w:t>nservative in this area. Consensus settled on the notion that the u</w:t>
      </w:r>
      <w:r w:rsidR="00091256">
        <w:t xml:space="preserve">se of </w:t>
      </w:r>
      <w:r w:rsidR="001B160F">
        <w:t>eligibility</w:t>
      </w:r>
      <w:r w:rsidR="00091256">
        <w:t xml:space="preserve"> is related to a conservation approach to the </w:t>
      </w:r>
      <w:r>
        <w:t>archaeological record and that we, as a community, s</w:t>
      </w:r>
      <w:r w:rsidR="00091256">
        <w:t xml:space="preserve">hould focus on how to resolve adverse effects </w:t>
      </w:r>
      <w:r>
        <w:t xml:space="preserve">(e.g., through alternative mitigation) </w:t>
      </w:r>
      <w:r w:rsidR="00091256">
        <w:t>rather than the issue of eligibility.</w:t>
      </w:r>
    </w:p>
    <w:p w14:paraId="3364AF62" w14:textId="77777777" w:rsidR="009D4B02" w:rsidRDefault="006759FD" w:rsidP="00E63490">
      <w:pPr>
        <w:pStyle w:val="ListParagraph"/>
        <w:numPr>
          <w:ilvl w:val="0"/>
          <w:numId w:val="11"/>
        </w:numPr>
      </w:pPr>
      <w:r>
        <w:t xml:space="preserve">Stakeholders suggested </w:t>
      </w:r>
      <w:r w:rsidR="00914F03">
        <w:t>including</w:t>
      </w:r>
      <w:r w:rsidR="00E74B8E">
        <w:t xml:space="preserve"> more academic archaeologists in future discussions and also highlighted the importance of tribes being engaged meaningfully in this process. </w:t>
      </w:r>
      <w:r w:rsidR="00914F03">
        <w:t xml:space="preserve"> </w:t>
      </w:r>
    </w:p>
    <w:p w14:paraId="38A91E3D" w14:textId="77777777" w:rsidR="00646297" w:rsidRDefault="00646297" w:rsidP="00646297"/>
    <w:p w14:paraId="4AF9E99E" w14:textId="77777777" w:rsidR="00646297" w:rsidRDefault="00646297" w:rsidP="00646297">
      <w:pPr>
        <w:pStyle w:val="ListParagraph"/>
        <w:numPr>
          <w:ilvl w:val="0"/>
          <w:numId w:val="15"/>
        </w:numPr>
      </w:pPr>
      <w:r>
        <w:t xml:space="preserve">Why do </w:t>
      </w:r>
      <w:r w:rsidR="000F5BA6">
        <w:t xml:space="preserve">individual agricultural </w:t>
      </w:r>
      <w:r>
        <w:t>producers have to pay</w:t>
      </w:r>
      <w:r w:rsidR="000F5BA6">
        <w:t xml:space="preserve"> </w:t>
      </w:r>
      <w:r w:rsidR="00040781">
        <w:t xml:space="preserve">ASM </w:t>
      </w:r>
      <w:r w:rsidR="000F5BA6">
        <w:t xml:space="preserve">fees related to </w:t>
      </w:r>
      <w:r w:rsidR="00040781">
        <w:t>curating</w:t>
      </w:r>
      <w:r w:rsidR="000F5BA6">
        <w:t xml:space="preserve"> the </w:t>
      </w:r>
      <w:r w:rsidR="00040781">
        <w:t xml:space="preserve">records resulting from </w:t>
      </w:r>
      <w:r w:rsidR="000F5BA6">
        <w:t xml:space="preserve">archaeological surveys </w:t>
      </w:r>
      <w:r w:rsidR="00040781">
        <w:t>conducted in advance of improvements on state lands they lease</w:t>
      </w:r>
      <w:r>
        <w:t xml:space="preserve">? </w:t>
      </w:r>
      <w:r w:rsidR="00040781">
        <w:t>Why can’t these records be curated by some other agency</w:t>
      </w:r>
      <w:r>
        <w:t>, e.g., ASLD?</w:t>
      </w:r>
    </w:p>
    <w:p w14:paraId="70843BF8" w14:textId="39AB0567" w:rsidR="00646297" w:rsidRDefault="00D87332" w:rsidP="000F00B3">
      <w:pPr>
        <w:pStyle w:val="ListParagraph"/>
        <w:numPr>
          <w:ilvl w:val="0"/>
          <w:numId w:val="16"/>
        </w:numPr>
      </w:pPr>
      <w:r>
        <w:t>A</w:t>
      </w:r>
      <w:r w:rsidR="00294AFB">
        <w:t xml:space="preserve"> foundation</w:t>
      </w:r>
      <w:r>
        <w:t>al tenet</w:t>
      </w:r>
      <w:r w:rsidR="00294AFB">
        <w:t xml:space="preserve"> of federal and state cultural resource management law is that </w:t>
      </w:r>
      <w:r>
        <w:t xml:space="preserve">the proponents of </w:t>
      </w:r>
      <w:r w:rsidR="00294AFB">
        <w:t xml:space="preserve">development </w:t>
      </w:r>
      <w:r>
        <w:t xml:space="preserve">on state or federal lands </w:t>
      </w:r>
      <w:r w:rsidR="00294AFB">
        <w:t xml:space="preserve">are responsible for the costs associated with managing </w:t>
      </w:r>
      <w:r>
        <w:t>cultural res</w:t>
      </w:r>
      <w:r w:rsidR="00294AFB">
        <w:t xml:space="preserve">ources </w:t>
      </w:r>
      <w:r>
        <w:t>that may be affected by those projects, including curation of project records. No state agency will accept this responsibility</w:t>
      </w:r>
      <w:r w:rsidR="00646297">
        <w:t xml:space="preserve"> </w:t>
      </w:r>
      <w:r>
        <w:t>free of charge. Such subsidizing or gifting is pro</w:t>
      </w:r>
      <w:r w:rsidR="00C12565">
        <w:t>hi</w:t>
      </w:r>
      <w:r>
        <w:t xml:space="preserve">bited by state statute and by the Arizona State Constitution. </w:t>
      </w:r>
      <w:r w:rsidR="00646297">
        <w:t xml:space="preserve">Splitting up records </w:t>
      </w:r>
      <w:r>
        <w:t xml:space="preserve">(e.g., filing survey results with agencies other than ASM) </w:t>
      </w:r>
      <w:r w:rsidR="00993A8D">
        <w:t xml:space="preserve">is contrary to extant law and regulations and also </w:t>
      </w:r>
      <w:r w:rsidR="00646297">
        <w:t xml:space="preserve">defeats </w:t>
      </w:r>
      <w:r w:rsidR="00212488">
        <w:t xml:space="preserve">designed </w:t>
      </w:r>
      <w:r>
        <w:t xml:space="preserve">efficiencies that already exist. Having all such records in one place saves </w:t>
      </w:r>
      <w:r w:rsidR="00212488">
        <w:t>time and money for archaeologists and agencies, reducing costs passed on to project proponents</w:t>
      </w:r>
      <w:r w:rsidR="00646297">
        <w:t>.</w:t>
      </w:r>
    </w:p>
    <w:p w14:paraId="1BFD96AD" w14:textId="77777777" w:rsidR="00646297" w:rsidRDefault="00646297" w:rsidP="00646297"/>
    <w:p w14:paraId="6A8A2ECE" w14:textId="5E626BB9" w:rsidR="00646297" w:rsidRDefault="00173386" w:rsidP="00BB5610">
      <w:pPr>
        <w:pStyle w:val="ListParagraph"/>
        <w:numPr>
          <w:ilvl w:val="0"/>
          <w:numId w:val="17"/>
        </w:numPr>
      </w:pPr>
      <w:r>
        <w:t xml:space="preserve">Some stakeholders </w:t>
      </w:r>
      <w:r w:rsidR="00BB5610">
        <w:t xml:space="preserve">are apparently under the mistaken impression that the </w:t>
      </w:r>
      <w:r w:rsidR="00646297">
        <w:t xml:space="preserve">estimates </w:t>
      </w:r>
      <w:r w:rsidR="00BB5610">
        <w:t xml:space="preserve">for charges in ASM’s posted rate and fee proposals are </w:t>
      </w:r>
      <w:r w:rsidR="00646297">
        <w:t>set prices</w:t>
      </w:r>
      <w:r w:rsidR="00BB5610">
        <w:t>. The examples provided in ASM’s posted proposals are</w:t>
      </w:r>
      <w:r w:rsidR="00646297">
        <w:t xml:space="preserve"> </w:t>
      </w:r>
      <w:r w:rsidR="00BB5610">
        <w:t>based on average time to complete sets of related tasks (e.g., project registration, preparation of a burial agreement</w:t>
      </w:r>
      <w:r w:rsidR="00B1366D">
        <w:t>, collections intake</w:t>
      </w:r>
      <w:r w:rsidR="00BB5610">
        <w:t xml:space="preserve">). The only set charges in the new system are </w:t>
      </w:r>
      <w:r>
        <w:t xml:space="preserve"> curation of objects </w:t>
      </w:r>
      <w:r w:rsidR="00BB5610">
        <w:t>in perpetuity</w:t>
      </w:r>
      <w:r>
        <w:t xml:space="preserve"> (per half-box)</w:t>
      </w:r>
      <w:r w:rsidR="00BB5610">
        <w:t xml:space="preserve"> </w:t>
      </w:r>
      <w:r>
        <w:t xml:space="preserve">and curation </w:t>
      </w:r>
      <w:r w:rsidR="00BB5610">
        <w:t>of documents in perpetuity</w:t>
      </w:r>
      <w:r>
        <w:t xml:space="preserve"> (per linear inch)</w:t>
      </w:r>
      <w:r w:rsidR="00BB5610">
        <w:t>.</w:t>
      </w:r>
      <w:r>
        <w:t xml:space="preserve"> ASM will bill</w:t>
      </w:r>
      <w:r w:rsidR="00B1366D">
        <w:t xml:space="preserve"> based on the final</w:t>
      </w:r>
      <w:r w:rsidR="00527D34">
        <w:t>,</w:t>
      </w:r>
      <w:r w:rsidR="00B1366D">
        <w:t xml:space="preserve"> revised and accepted quote for</w:t>
      </w:r>
      <w:r>
        <w:t xml:space="preserve"> all other services.</w:t>
      </w:r>
    </w:p>
    <w:p w14:paraId="52328B5F" w14:textId="77777777" w:rsidR="00BB5610" w:rsidRDefault="00BB5610" w:rsidP="00646297"/>
    <w:p w14:paraId="7819A2FC" w14:textId="1B42B2C2" w:rsidR="00646297" w:rsidRDefault="001F1EE6" w:rsidP="001F1EE6">
      <w:pPr>
        <w:pStyle w:val="ListParagraph"/>
        <w:numPr>
          <w:ilvl w:val="0"/>
          <w:numId w:val="17"/>
        </w:numPr>
      </w:pPr>
      <w:r>
        <w:t>Will ASM accept f</w:t>
      </w:r>
      <w:r w:rsidR="00646297">
        <w:t>ederal</w:t>
      </w:r>
      <w:r>
        <w:t>ly owned object collection</w:t>
      </w:r>
      <w:r w:rsidR="008C5925">
        <w:t>s</w:t>
      </w:r>
      <w:r>
        <w:t xml:space="preserve"> for curation in perpetuity?</w:t>
      </w:r>
    </w:p>
    <w:p w14:paraId="0A8E97D5" w14:textId="77777777" w:rsidR="00646297" w:rsidRDefault="001F1EE6" w:rsidP="001F1EE6">
      <w:pPr>
        <w:pStyle w:val="ListParagraph"/>
        <w:numPr>
          <w:ilvl w:val="0"/>
          <w:numId w:val="18"/>
        </w:numPr>
      </w:pPr>
      <w:r>
        <w:t xml:space="preserve">ASM will accept </w:t>
      </w:r>
      <w:r w:rsidR="00646297">
        <w:t xml:space="preserve">projects </w:t>
      </w:r>
      <w:r>
        <w:t>that it has already agreed to accept. Federally owned collections generated by future projects</w:t>
      </w:r>
      <w:r w:rsidR="00646297">
        <w:t xml:space="preserve"> </w:t>
      </w:r>
      <w:r>
        <w:t xml:space="preserve">will only be accepted for curation under the terms of </w:t>
      </w:r>
      <w:r w:rsidR="00646297">
        <w:t>5-yea</w:t>
      </w:r>
      <w:r>
        <w:t>r or ten-year renewable repository</w:t>
      </w:r>
      <w:r w:rsidR="00646297">
        <w:t xml:space="preserve"> contracts</w:t>
      </w:r>
      <w:r>
        <w:t>. ASM will no longer curate in perpetuity non-state-owned materials</w:t>
      </w:r>
      <w:r w:rsidR="00646297">
        <w:t>.</w:t>
      </w:r>
    </w:p>
    <w:p w14:paraId="1B638AA4" w14:textId="77777777" w:rsidR="00646297" w:rsidRDefault="00646297" w:rsidP="00646297"/>
    <w:p w14:paraId="54CA7B43" w14:textId="77777777" w:rsidR="00646297" w:rsidRDefault="00E0171B" w:rsidP="00E0171B">
      <w:pPr>
        <w:pStyle w:val="ListParagraph"/>
        <w:numPr>
          <w:ilvl w:val="0"/>
          <w:numId w:val="19"/>
        </w:numPr>
      </w:pPr>
      <w:r>
        <w:lastRenderedPageBreak/>
        <w:t>Stakeholders asked if, as had been discussed at the ASM SB 1418 CRM Forum of 13 June, ASM should be afraid that funds collected to cover curation costs in perpetuity might be “swept” by the legislature.</w:t>
      </w:r>
    </w:p>
    <w:p w14:paraId="76E79054" w14:textId="00CB8023" w:rsidR="00646297" w:rsidRDefault="00B15A84" w:rsidP="00B15A84">
      <w:pPr>
        <w:pStyle w:val="ListParagraph"/>
        <w:numPr>
          <w:ilvl w:val="0"/>
          <w:numId w:val="20"/>
        </w:numPr>
      </w:pPr>
      <w:r>
        <w:t xml:space="preserve">The </w:t>
      </w:r>
      <w:r w:rsidR="00646297">
        <w:t>U</w:t>
      </w:r>
      <w:r>
        <w:t xml:space="preserve">niversity of </w:t>
      </w:r>
      <w:r w:rsidR="00646297">
        <w:t>A</w:t>
      </w:r>
      <w:r>
        <w:t>rizona (UA) uses interest-bearing accounts</w:t>
      </w:r>
      <w:r w:rsidR="00646297">
        <w:t xml:space="preserve"> for many different kinds of projects and services. This is a new funding model in the CRM field but not at UA. This is a common b</w:t>
      </w:r>
      <w:r>
        <w:t>usiness tool, and without it, ASM</w:t>
      </w:r>
      <w:r w:rsidR="00646297">
        <w:t xml:space="preserve"> will not be able to cover costs/provide services.</w:t>
      </w:r>
      <w:r w:rsidR="00100A11">
        <w:t xml:space="preserve">  Furthermore, the majority of funds collected for curation costs will </w:t>
      </w:r>
      <w:r w:rsidR="00687979">
        <w:t xml:space="preserve">be mirrored </w:t>
      </w:r>
      <w:r w:rsidR="00100A11">
        <w:t xml:space="preserve">on the books </w:t>
      </w:r>
      <w:r w:rsidR="00687979">
        <w:t xml:space="preserve">by </w:t>
      </w:r>
      <w:r w:rsidR="00100A11">
        <w:t>a liability (</w:t>
      </w:r>
      <w:r w:rsidR="00B1366D">
        <w:t>u</w:t>
      </w:r>
      <w:r w:rsidR="00100A11">
        <w:t xml:space="preserve">nearned </w:t>
      </w:r>
      <w:r w:rsidR="00B1366D">
        <w:t>r</w:t>
      </w:r>
      <w:r w:rsidR="00100A11">
        <w:t>evenue)</w:t>
      </w:r>
      <w:r w:rsidR="00353275">
        <w:t xml:space="preserve">, </w:t>
      </w:r>
      <w:r w:rsidR="00665471">
        <w:t xml:space="preserve">which will </w:t>
      </w:r>
      <w:r w:rsidR="00353275">
        <w:t>not be completely amortized for approximately 180 years</w:t>
      </w:r>
      <w:r w:rsidR="007A3069">
        <w:t xml:space="preserve"> from the time of collections intake</w:t>
      </w:r>
      <w:r w:rsidR="00100A11">
        <w:t>. Were the</w:t>
      </w:r>
      <w:r w:rsidR="00D55A1E">
        <w:t>se</w:t>
      </w:r>
      <w:r w:rsidR="00100A11">
        <w:t xml:space="preserve"> funds to be swept</w:t>
      </w:r>
      <w:r w:rsidR="00B1366D">
        <w:t>,</w:t>
      </w:r>
      <w:r w:rsidR="00100A11">
        <w:t xml:space="preserve"> a substantial unfunded liability</w:t>
      </w:r>
      <w:r w:rsidR="00B1366D">
        <w:t xml:space="preserve"> would result</w:t>
      </w:r>
      <w:r w:rsidR="004567C7">
        <w:t xml:space="preserve">. This would </w:t>
      </w:r>
      <w:r w:rsidR="00100A11">
        <w:t>be fiscally irresponsible</w:t>
      </w:r>
      <w:r w:rsidR="004567C7">
        <w:t>, and is highly unlikely</w:t>
      </w:r>
      <w:r w:rsidR="002F2CF5">
        <w:t>,</w:t>
      </w:r>
      <w:r w:rsidR="004567C7">
        <w:t xml:space="preserve"> as only </w:t>
      </w:r>
      <w:r w:rsidR="004567C7" w:rsidRPr="00AA75D6">
        <w:rPr>
          <w:u w:val="single"/>
        </w:rPr>
        <w:t>unencumbered</w:t>
      </w:r>
      <w:r w:rsidR="004567C7">
        <w:t xml:space="preserve"> cash is ever subject to such “sweeps</w:t>
      </w:r>
      <w:r w:rsidR="00100A11">
        <w:t>.</w:t>
      </w:r>
      <w:r w:rsidR="004567C7">
        <w:t>”</w:t>
      </w:r>
      <w:r w:rsidR="00100A11">
        <w:t xml:space="preserve">  </w:t>
      </w:r>
    </w:p>
    <w:p w14:paraId="2C98E24C" w14:textId="77777777" w:rsidR="00BB5610" w:rsidRDefault="00BB5610" w:rsidP="00270439"/>
    <w:p w14:paraId="002E5A26" w14:textId="6C1D5722" w:rsidR="001D34F6" w:rsidRDefault="00D64ADD" w:rsidP="005357D6">
      <w:pPr>
        <w:pStyle w:val="ListParagraph"/>
        <w:numPr>
          <w:ilvl w:val="0"/>
          <w:numId w:val="21"/>
        </w:numPr>
        <w:ind w:left="360"/>
      </w:pPr>
      <w:r>
        <w:t>If CRM firms can make site landownership more readily apparent in t</w:t>
      </w:r>
      <w:r w:rsidR="00E51997">
        <w:t xml:space="preserve">reatment </w:t>
      </w:r>
      <w:r w:rsidR="001D34F6">
        <w:t>p</w:t>
      </w:r>
      <w:r>
        <w:t xml:space="preserve">lans/research designs, </w:t>
      </w:r>
      <w:r w:rsidR="001D34F6">
        <w:t xml:space="preserve">time and money </w:t>
      </w:r>
      <w:r>
        <w:t>will be saved, as</w:t>
      </w:r>
      <w:r w:rsidR="001D34F6">
        <w:t xml:space="preserve"> reviews </w:t>
      </w:r>
      <w:r>
        <w:t xml:space="preserve">by ASM will be streamlined. ASM </w:t>
      </w:r>
      <w:r w:rsidR="001D34F6">
        <w:t xml:space="preserve">will add </w:t>
      </w:r>
      <w:r>
        <w:t xml:space="preserve">discussion of </w:t>
      </w:r>
      <w:r w:rsidR="001D34F6">
        <w:t xml:space="preserve">this </w:t>
      </w:r>
      <w:r>
        <w:t xml:space="preserve">topic to upcoming </w:t>
      </w:r>
      <w:r w:rsidR="001D34F6">
        <w:t>workshops focused on coll</w:t>
      </w:r>
      <w:r>
        <w:t>ections processing standards (and how to minimize costs associated with submission</w:t>
      </w:r>
      <w:r w:rsidR="007B1A56">
        <w:t>s</w:t>
      </w:r>
      <w:r>
        <w:t xml:space="preserve"> to ASM). </w:t>
      </w:r>
    </w:p>
    <w:p w14:paraId="0D4523CC" w14:textId="77777777" w:rsidR="004A7D33" w:rsidRDefault="004A7D33" w:rsidP="005357D6"/>
    <w:p w14:paraId="307B013C" w14:textId="6D90FD50" w:rsidR="004A7D33" w:rsidRDefault="004A7D33" w:rsidP="00270439"/>
    <w:p w14:paraId="79EB1E85" w14:textId="77777777" w:rsidR="004A7D33" w:rsidRDefault="004A7D33" w:rsidP="00270439"/>
    <w:p w14:paraId="4BFECD10" w14:textId="77777777" w:rsidR="004A7D33" w:rsidRPr="00270439" w:rsidRDefault="004A7D33" w:rsidP="00270439"/>
    <w:sectPr w:rsidR="004A7D33" w:rsidRPr="0027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7672"/>
    <w:multiLevelType w:val="hybridMultilevel"/>
    <w:tmpl w:val="0F627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95C06"/>
    <w:multiLevelType w:val="hybridMultilevel"/>
    <w:tmpl w:val="147A0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1039E"/>
    <w:multiLevelType w:val="hybridMultilevel"/>
    <w:tmpl w:val="FFB8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C12D6"/>
    <w:multiLevelType w:val="hybridMultilevel"/>
    <w:tmpl w:val="5AD8A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548D7"/>
    <w:multiLevelType w:val="hybridMultilevel"/>
    <w:tmpl w:val="0B30B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CF1"/>
    <w:multiLevelType w:val="hybridMultilevel"/>
    <w:tmpl w:val="0BDC5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894EC5"/>
    <w:multiLevelType w:val="hybridMultilevel"/>
    <w:tmpl w:val="9E362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E868A9"/>
    <w:multiLevelType w:val="hybridMultilevel"/>
    <w:tmpl w:val="9354A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3545C6"/>
    <w:multiLevelType w:val="hybridMultilevel"/>
    <w:tmpl w:val="D7522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50D04"/>
    <w:multiLevelType w:val="hybridMultilevel"/>
    <w:tmpl w:val="1A2200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3C277F"/>
    <w:multiLevelType w:val="hybridMultilevel"/>
    <w:tmpl w:val="D25EF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3573E"/>
    <w:multiLevelType w:val="hybridMultilevel"/>
    <w:tmpl w:val="50F2D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902ACA"/>
    <w:multiLevelType w:val="hybridMultilevel"/>
    <w:tmpl w:val="9D58D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7448AC"/>
    <w:multiLevelType w:val="hybridMultilevel"/>
    <w:tmpl w:val="6A3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31DD5"/>
    <w:multiLevelType w:val="hybridMultilevel"/>
    <w:tmpl w:val="6F18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274829"/>
    <w:multiLevelType w:val="hybridMultilevel"/>
    <w:tmpl w:val="3DBE1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755D2E"/>
    <w:multiLevelType w:val="hybridMultilevel"/>
    <w:tmpl w:val="18803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F84D9A"/>
    <w:multiLevelType w:val="hybridMultilevel"/>
    <w:tmpl w:val="7E2E14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DC7F3D"/>
    <w:multiLevelType w:val="hybridMultilevel"/>
    <w:tmpl w:val="E758C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011CC"/>
    <w:multiLevelType w:val="hybridMultilevel"/>
    <w:tmpl w:val="22905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43C1B"/>
    <w:multiLevelType w:val="hybridMultilevel"/>
    <w:tmpl w:val="529C8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14"/>
  </w:num>
  <w:num w:numId="5">
    <w:abstractNumId w:val="4"/>
  </w:num>
  <w:num w:numId="6">
    <w:abstractNumId w:val="1"/>
  </w:num>
  <w:num w:numId="7">
    <w:abstractNumId w:val="9"/>
  </w:num>
  <w:num w:numId="8">
    <w:abstractNumId w:val="12"/>
  </w:num>
  <w:num w:numId="9">
    <w:abstractNumId w:val="17"/>
  </w:num>
  <w:num w:numId="10">
    <w:abstractNumId w:val="16"/>
  </w:num>
  <w:num w:numId="11">
    <w:abstractNumId w:val="19"/>
  </w:num>
  <w:num w:numId="12">
    <w:abstractNumId w:val="7"/>
  </w:num>
  <w:num w:numId="13">
    <w:abstractNumId w:val="18"/>
  </w:num>
  <w:num w:numId="14">
    <w:abstractNumId w:val="10"/>
  </w:num>
  <w:num w:numId="15">
    <w:abstractNumId w:val="2"/>
  </w:num>
  <w:num w:numId="16">
    <w:abstractNumId w:val="8"/>
  </w:num>
  <w:num w:numId="17">
    <w:abstractNumId w:val="5"/>
  </w:num>
  <w:num w:numId="18">
    <w:abstractNumId w:val="20"/>
  </w:num>
  <w:num w:numId="19">
    <w:abstractNumId w:val="6"/>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39"/>
    <w:rsid w:val="00015D06"/>
    <w:rsid w:val="00034CFC"/>
    <w:rsid w:val="00040781"/>
    <w:rsid w:val="00055084"/>
    <w:rsid w:val="00091256"/>
    <w:rsid w:val="00096504"/>
    <w:rsid w:val="000A76B1"/>
    <w:rsid w:val="000C4AC4"/>
    <w:rsid w:val="000C7EB3"/>
    <w:rsid w:val="000F5BA6"/>
    <w:rsid w:val="00100A11"/>
    <w:rsid w:val="00140EDC"/>
    <w:rsid w:val="001635B5"/>
    <w:rsid w:val="001654CA"/>
    <w:rsid w:val="00173386"/>
    <w:rsid w:val="00183ED0"/>
    <w:rsid w:val="001A44AC"/>
    <w:rsid w:val="001B099E"/>
    <w:rsid w:val="001B160F"/>
    <w:rsid w:val="001D34F6"/>
    <w:rsid w:val="001E0C62"/>
    <w:rsid w:val="001F1EE6"/>
    <w:rsid w:val="001F7E22"/>
    <w:rsid w:val="00201CF6"/>
    <w:rsid w:val="00212488"/>
    <w:rsid w:val="00236EF9"/>
    <w:rsid w:val="002420A5"/>
    <w:rsid w:val="002505B3"/>
    <w:rsid w:val="00270439"/>
    <w:rsid w:val="00294AFB"/>
    <w:rsid w:val="0029602A"/>
    <w:rsid w:val="002A0C74"/>
    <w:rsid w:val="002C1E25"/>
    <w:rsid w:val="002E68A5"/>
    <w:rsid w:val="002F2CF5"/>
    <w:rsid w:val="002F3A31"/>
    <w:rsid w:val="002F63E7"/>
    <w:rsid w:val="00353275"/>
    <w:rsid w:val="004017A6"/>
    <w:rsid w:val="00424E05"/>
    <w:rsid w:val="004567C7"/>
    <w:rsid w:val="00466F4B"/>
    <w:rsid w:val="004A7D33"/>
    <w:rsid w:val="004B2A8B"/>
    <w:rsid w:val="004E1647"/>
    <w:rsid w:val="004F2B4A"/>
    <w:rsid w:val="00527D34"/>
    <w:rsid w:val="005357D6"/>
    <w:rsid w:val="005377AE"/>
    <w:rsid w:val="00553C85"/>
    <w:rsid w:val="005817E1"/>
    <w:rsid w:val="005C53B6"/>
    <w:rsid w:val="005D4AD7"/>
    <w:rsid w:val="005E7397"/>
    <w:rsid w:val="00602826"/>
    <w:rsid w:val="00646297"/>
    <w:rsid w:val="00661D49"/>
    <w:rsid w:val="00665471"/>
    <w:rsid w:val="00674928"/>
    <w:rsid w:val="006759FD"/>
    <w:rsid w:val="00687979"/>
    <w:rsid w:val="006B7A5D"/>
    <w:rsid w:val="006C5F2B"/>
    <w:rsid w:val="006F7A6F"/>
    <w:rsid w:val="007455B8"/>
    <w:rsid w:val="00751C4A"/>
    <w:rsid w:val="007A3069"/>
    <w:rsid w:val="007B1A56"/>
    <w:rsid w:val="00810180"/>
    <w:rsid w:val="0082180F"/>
    <w:rsid w:val="00824149"/>
    <w:rsid w:val="0083092B"/>
    <w:rsid w:val="00851811"/>
    <w:rsid w:val="00853414"/>
    <w:rsid w:val="00861B43"/>
    <w:rsid w:val="0088028F"/>
    <w:rsid w:val="008A37D7"/>
    <w:rsid w:val="008C5925"/>
    <w:rsid w:val="00914F03"/>
    <w:rsid w:val="00926F7B"/>
    <w:rsid w:val="00972B4E"/>
    <w:rsid w:val="00993A8D"/>
    <w:rsid w:val="009A3A32"/>
    <w:rsid w:val="009D451A"/>
    <w:rsid w:val="009D4B02"/>
    <w:rsid w:val="00A53ADC"/>
    <w:rsid w:val="00A57DAD"/>
    <w:rsid w:val="00A92012"/>
    <w:rsid w:val="00AA75D6"/>
    <w:rsid w:val="00AD38EF"/>
    <w:rsid w:val="00AE7081"/>
    <w:rsid w:val="00B1366D"/>
    <w:rsid w:val="00B15A84"/>
    <w:rsid w:val="00B2451F"/>
    <w:rsid w:val="00BA62E3"/>
    <w:rsid w:val="00BB3CCA"/>
    <w:rsid w:val="00BB5610"/>
    <w:rsid w:val="00BC42A0"/>
    <w:rsid w:val="00C046EE"/>
    <w:rsid w:val="00C12565"/>
    <w:rsid w:val="00C27C9A"/>
    <w:rsid w:val="00C50E93"/>
    <w:rsid w:val="00C91DB6"/>
    <w:rsid w:val="00C96D05"/>
    <w:rsid w:val="00CB655D"/>
    <w:rsid w:val="00D10FF1"/>
    <w:rsid w:val="00D156BD"/>
    <w:rsid w:val="00D35A3E"/>
    <w:rsid w:val="00D36213"/>
    <w:rsid w:val="00D45E0E"/>
    <w:rsid w:val="00D55A1E"/>
    <w:rsid w:val="00D64ADD"/>
    <w:rsid w:val="00D81FD0"/>
    <w:rsid w:val="00D87332"/>
    <w:rsid w:val="00DC4903"/>
    <w:rsid w:val="00DF184C"/>
    <w:rsid w:val="00DF6F47"/>
    <w:rsid w:val="00E0171B"/>
    <w:rsid w:val="00E22E2E"/>
    <w:rsid w:val="00E24227"/>
    <w:rsid w:val="00E360F6"/>
    <w:rsid w:val="00E51997"/>
    <w:rsid w:val="00E74B8E"/>
    <w:rsid w:val="00E94FB6"/>
    <w:rsid w:val="00F53475"/>
    <w:rsid w:val="00F62BE8"/>
    <w:rsid w:val="00F911E3"/>
    <w:rsid w:val="00FB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514"/>
  <w15:chartTrackingRefBased/>
  <w15:docId w15:val="{0513E98D-8B58-4820-8924-CF860491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25"/>
    <w:pPr>
      <w:ind w:left="720"/>
      <w:contextualSpacing/>
    </w:pPr>
  </w:style>
  <w:style w:type="character" w:styleId="Hyperlink">
    <w:name w:val="Hyperlink"/>
    <w:basedOn w:val="DefaultParagraphFont"/>
    <w:uiPriority w:val="99"/>
    <w:unhideWhenUsed/>
    <w:rsid w:val="00E94FB6"/>
    <w:rPr>
      <w:color w:val="0000FF"/>
      <w:u w:val="single"/>
    </w:rPr>
  </w:style>
  <w:style w:type="character" w:customStyle="1" w:styleId="UnresolvedMention1">
    <w:name w:val="Unresolved Mention1"/>
    <w:basedOn w:val="DefaultParagraphFont"/>
    <w:uiPriority w:val="99"/>
    <w:semiHidden/>
    <w:unhideWhenUsed/>
    <w:rsid w:val="00D36213"/>
    <w:rPr>
      <w:color w:val="808080"/>
      <w:shd w:val="clear" w:color="auto" w:fill="E6E6E6"/>
    </w:rPr>
  </w:style>
  <w:style w:type="character" w:styleId="FollowedHyperlink">
    <w:name w:val="FollowedHyperlink"/>
    <w:basedOn w:val="DefaultParagraphFont"/>
    <w:uiPriority w:val="99"/>
    <w:semiHidden/>
    <w:unhideWhenUsed/>
    <w:rsid w:val="00D36213"/>
    <w:rPr>
      <w:color w:val="800080" w:themeColor="followedHyperlink"/>
      <w:u w:val="single"/>
    </w:rPr>
  </w:style>
  <w:style w:type="character" w:styleId="CommentReference">
    <w:name w:val="annotation reference"/>
    <w:basedOn w:val="DefaultParagraphFont"/>
    <w:uiPriority w:val="99"/>
    <w:semiHidden/>
    <w:unhideWhenUsed/>
    <w:rsid w:val="00100A11"/>
    <w:rPr>
      <w:sz w:val="16"/>
      <w:szCs w:val="16"/>
    </w:rPr>
  </w:style>
  <w:style w:type="paragraph" w:styleId="CommentText">
    <w:name w:val="annotation text"/>
    <w:basedOn w:val="Normal"/>
    <w:link w:val="CommentTextChar"/>
    <w:uiPriority w:val="99"/>
    <w:semiHidden/>
    <w:unhideWhenUsed/>
    <w:rsid w:val="00100A11"/>
    <w:rPr>
      <w:sz w:val="20"/>
      <w:szCs w:val="20"/>
    </w:rPr>
  </w:style>
  <w:style w:type="character" w:customStyle="1" w:styleId="CommentTextChar">
    <w:name w:val="Comment Text Char"/>
    <w:basedOn w:val="DefaultParagraphFont"/>
    <w:link w:val="CommentText"/>
    <w:uiPriority w:val="99"/>
    <w:semiHidden/>
    <w:rsid w:val="00100A11"/>
    <w:rPr>
      <w:sz w:val="20"/>
      <w:szCs w:val="20"/>
    </w:rPr>
  </w:style>
  <w:style w:type="paragraph" w:styleId="CommentSubject">
    <w:name w:val="annotation subject"/>
    <w:basedOn w:val="CommentText"/>
    <w:next w:val="CommentText"/>
    <w:link w:val="CommentSubjectChar"/>
    <w:uiPriority w:val="99"/>
    <w:semiHidden/>
    <w:unhideWhenUsed/>
    <w:rsid w:val="00100A11"/>
    <w:rPr>
      <w:b/>
      <w:bCs/>
    </w:rPr>
  </w:style>
  <w:style w:type="character" w:customStyle="1" w:styleId="CommentSubjectChar">
    <w:name w:val="Comment Subject Char"/>
    <w:basedOn w:val="CommentTextChar"/>
    <w:link w:val="CommentSubject"/>
    <w:uiPriority w:val="99"/>
    <w:semiHidden/>
    <w:rsid w:val="00100A11"/>
    <w:rPr>
      <w:b/>
      <w:bCs/>
      <w:sz w:val="20"/>
      <w:szCs w:val="20"/>
    </w:rPr>
  </w:style>
  <w:style w:type="paragraph" w:styleId="BalloonText">
    <w:name w:val="Balloon Text"/>
    <w:basedOn w:val="Normal"/>
    <w:link w:val="BalloonTextChar"/>
    <w:uiPriority w:val="99"/>
    <w:semiHidden/>
    <w:unhideWhenUsed/>
    <w:rsid w:val="00100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46440">
      <w:bodyDiv w:val="1"/>
      <w:marLeft w:val="0"/>
      <w:marRight w:val="0"/>
      <w:marTop w:val="0"/>
      <w:marBottom w:val="0"/>
      <w:divBdr>
        <w:top w:val="none" w:sz="0" w:space="0" w:color="auto"/>
        <w:left w:val="none" w:sz="0" w:space="0" w:color="auto"/>
        <w:bottom w:val="none" w:sz="0" w:space="0" w:color="auto"/>
        <w:right w:val="none" w:sz="0" w:space="0" w:color="auto"/>
      </w:divBdr>
      <w:divsChild>
        <w:div w:id="514078563">
          <w:marLeft w:val="0"/>
          <w:marRight w:val="0"/>
          <w:marTop w:val="0"/>
          <w:marBottom w:val="0"/>
          <w:divBdr>
            <w:top w:val="none" w:sz="0" w:space="0" w:color="auto"/>
            <w:left w:val="none" w:sz="0" w:space="0" w:color="auto"/>
            <w:bottom w:val="none" w:sz="0" w:space="0" w:color="auto"/>
            <w:right w:val="none" w:sz="0" w:space="0" w:color="auto"/>
          </w:divBdr>
        </w:div>
        <w:div w:id="1967151932">
          <w:marLeft w:val="0"/>
          <w:marRight w:val="0"/>
          <w:marTop w:val="0"/>
          <w:marBottom w:val="0"/>
          <w:divBdr>
            <w:top w:val="none" w:sz="0" w:space="0" w:color="auto"/>
            <w:left w:val="none" w:sz="0" w:space="0" w:color="auto"/>
            <w:bottom w:val="none" w:sz="0" w:space="0" w:color="auto"/>
            <w:right w:val="none" w:sz="0" w:space="0" w:color="auto"/>
          </w:divBdr>
        </w:div>
        <w:div w:id="628820201">
          <w:marLeft w:val="0"/>
          <w:marRight w:val="0"/>
          <w:marTop w:val="0"/>
          <w:marBottom w:val="0"/>
          <w:divBdr>
            <w:top w:val="none" w:sz="0" w:space="0" w:color="auto"/>
            <w:left w:val="none" w:sz="0" w:space="0" w:color="auto"/>
            <w:bottom w:val="none" w:sz="0" w:space="0" w:color="auto"/>
            <w:right w:val="none" w:sz="0" w:space="0" w:color="auto"/>
          </w:divBdr>
        </w:div>
        <w:div w:id="1794135655">
          <w:marLeft w:val="0"/>
          <w:marRight w:val="0"/>
          <w:marTop w:val="0"/>
          <w:marBottom w:val="0"/>
          <w:divBdr>
            <w:top w:val="none" w:sz="0" w:space="0" w:color="auto"/>
            <w:left w:val="none" w:sz="0" w:space="0" w:color="auto"/>
            <w:bottom w:val="none" w:sz="0" w:space="0" w:color="auto"/>
            <w:right w:val="none" w:sz="0" w:space="0" w:color="auto"/>
          </w:divBdr>
        </w:div>
        <w:div w:id="1176384871">
          <w:marLeft w:val="0"/>
          <w:marRight w:val="0"/>
          <w:marTop w:val="0"/>
          <w:marBottom w:val="0"/>
          <w:divBdr>
            <w:top w:val="none" w:sz="0" w:space="0" w:color="auto"/>
            <w:left w:val="none" w:sz="0" w:space="0" w:color="auto"/>
            <w:bottom w:val="none" w:sz="0" w:space="0" w:color="auto"/>
            <w:right w:val="none" w:sz="0" w:space="0" w:color="auto"/>
          </w:divBdr>
        </w:div>
        <w:div w:id="1341466068">
          <w:marLeft w:val="0"/>
          <w:marRight w:val="0"/>
          <w:marTop w:val="0"/>
          <w:marBottom w:val="0"/>
          <w:divBdr>
            <w:top w:val="none" w:sz="0" w:space="0" w:color="auto"/>
            <w:left w:val="none" w:sz="0" w:space="0" w:color="auto"/>
            <w:bottom w:val="none" w:sz="0" w:space="0" w:color="auto"/>
            <w:right w:val="none" w:sz="0" w:space="0" w:color="auto"/>
          </w:divBdr>
        </w:div>
        <w:div w:id="1501460605">
          <w:marLeft w:val="0"/>
          <w:marRight w:val="0"/>
          <w:marTop w:val="0"/>
          <w:marBottom w:val="0"/>
          <w:divBdr>
            <w:top w:val="none" w:sz="0" w:space="0" w:color="auto"/>
            <w:left w:val="none" w:sz="0" w:space="0" w:color="auto"/>
            <w:bottom w:val="none" w:sz="0" w:space="0" w:color="auto"/>
            <w:right w:val="none" w:sz="0" w:space="0" w:color="auto"/>
          </w:divBdr>
        </w:div>
        <w:div w:id="28581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icrm.com/news/BLM_Permian_Bas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macweb.org/My_Homepage_Files/Download/NewsMAC_2010-1.pdf" TargetMode="External"/><Relationship Id="rId12" Type="http://schemas.openxmlformats.org/officeDocument/2006/relationships/hyperlink" Target="https://www.cambridge.org/core/journals/advances-in-archaeological-practice/article/div-classtitlevalues-based-management-of-archaeological-resources-at-a-landscape-scalediv/FC7AAE375D4CFEFD0DD479437C12185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temuseum.arizona.edu/media/statemuseum/_file/az_report_standards_2009.pdf" TargetMode="External"/><Relationship Id="rId11" Type="http://schemas.openxmlformats.org/officeDocument/2006/relationships/hyperlink" Target="https://www.cambridge.org/core/services/aop-cambridge-core/content/view/196A11A758BEEA4C5EFE6BF1269DBFAB/S2326376800000735a.pdf/div-class-title-the-permian-basin-programmatic-agreement-after-seven-years-of-implementation-div.pdf" TargetMode="External"/><Relationship Id="rId5" Type="http://schemas.openxmlformats.org/officeDocument/2006/relationships/webSettings" Target="webSettings.xml"/><Relationship Id="rId10" Type="http://schemas.openxmlformats.org/officeDocument/2006/relationships/hyperlink" Target="http://www.saa.org/portals/0/saa/publications/amantiq/articleschlanger.pdf" TargetMode="External"/><Relationship Id="rId4" Type="http://schemas.openxmlformats.org/officeDocument/2006/relationships/settings" Target="settings.xml"/><Relationship Id="rId9" Type="http://schemas.openxmlformats.org/officeDocument/2006/relationships/hyperlink" Target="http://www.nmhistoricpreservation.org/assets/files/press-releases/permian_basin_mo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07AD-8C69-472E-B8E1-5C93827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 Lyons</dc:creator>
  <cp:keywords/>
  <dc:description/>
  <cp:lastModifiedBy>Patrick D. Lyons</cp:lastModifiedBy>
  <cp:revision>2</cp:revision>
  <cp:lastPrinted>2017-07-27T16:51:00Z</cp:lastPrinted>
  <dcterms:created xsi:type="dcterms:W3CDTF">2017-08-03T14:23:00Z</dcterms:created>
  <dcterms:modified xsi:type="dcterms:W3CDTF">2017-08-03T14:23:00Z</dcterms:modified>
</cp:coreProperties>
</file>